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360" w:lineRule="auto"/>
        <w:rPr/>
      </w:pPr>
      <w:bookmarkStart w:colFirst="0" w:colLast="0" w:name="_heading=h.dnoxrna63gjq" w:id="0"/>
      <w:bookmarkEnd w:id="0"/>
      <w:r w:rsidDel="00000000" w:rsidR="00000000" w:rsidRPr="00000000">
        <w:rPr>
          <w:rtl w:val="0"/>
        </w:rPr>
        <w:t xml:space="preserve">Organizativa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heading=h.72he5leroe6j" w:id="1"/>
      <w:bookmarkEnd w:id="1"/>
      <w:r w:rsidDel="00000000" w:rsidR="00000000" w:rsidRPr="00000000">
        <w:rPr>
          <w:rtl w:val="0"/>
        </w:rPr>
        <w:t xml:space="preserve">Estructura Orgánica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114300" distT="114300" distL="114300" distR="114300">
            <wp:extent cx="5978525" cy="3314700"/>
            <wp:effectExtent b="0" l="0" r="0" t="0"/>
            <wp:docPr id="102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78525" cy="331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rPr/>
      </w:pPr>
      <w:bookmarkStart w:colFirst="0" w:colLast="0" w:name="_heading=h.ytx7z2wvccmc" w:id="2"/>
      <w:bookmarkEnd w:id="2"/>
      <w:r w:rsidDel="00000000" w:rsidR="00000000" w:rsidRPr="00000000">
        <w:rPr>
          <w:rtl w:val="0"/>
        </w:rPr>
        <w:t xml:space="preserve">Consejo de Administración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Presidente: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Antonio Morales Méndez, Presidente del Cabildo Insular de Gran Canaria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Vicepresidente: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Raúl García Brink (Grupo Nueva Canarias-Nueva Gran Canaria).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Secretario del Consejo de Administración: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D. Luis Alfonso Manero Torres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Vocales: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1. D. Miguel Hidalgo Sánchez, Consejero de Área Sector Primario y Soberanía Alimentaria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2. Dña. Olaia Morán Ramírez, Consejera de Área de Educación y Juventud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3. Dña. Isabel Mena Alonso,Consejera de Política Social y Accesibilidad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4. D. Francisco Javier García la Torre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5. D. Marco Aurelio Pérez Sánchez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6. D. Daniel Reyes Santana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7. Dña. María Ángeles Batista Perdomo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8. Dña. Concepción Monzón Navarro, Consejera de Arquitectura y Vivienda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9. D. Alejandro Cancho Diaz (Grupo Mixto-Ciudados-No Consejero)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3"/>
        <w:rPr/>
      </w:pPr>
      <w:bookmarkStart w:colFirst="0" w:colLast="0" w:name="_heading=h.iqc85pw7of61" w:id="3"/>
      <w:bookmarkEnd w:id="3"/>
      <w:r w:rsidDel="00000000" w:rsidR="00000000" w:rsidRPr="00000000">
        <w:rPr>
          <w:rtl w:val="0"/>
        </w:rPr>
        <w:t xml:space="preserve">Comité ejecutivo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  <w:rPr>
          <w:rFonts w:ascii="Arial" w:cs="Arial" w:eastAsia="Arial" w:hAnsi="Arial"/>
          <w:color w:val="333333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D. Raúl García Brink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  <w:rPr>
          <w:rFonts w:ascii="Arial" w:cs="Arial" w:eastAsia="Arial" w:hAnsi="Arial"/>
          <w:color w:val="333333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D. Miguel Hidalgo Sánchez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  <w:rPr>
          <w:rFonts w:ascii="Arial" w:cs="Arial" w:eastAsia="Arial" w:hAnsi="Arial"/>
          <w:color w:val="333333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Dña. Isabel Mena Alonso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shd w:fill="ffffff" w:val="clear"/>
        <w:spacing w:after="300" w:lineRule="auto"/>
        <w:ind w:left="720" w:hanging="360"/>
        <w:rPr>
          <w:rFonts w:ascii="Arial" w:cs="Arial" w:eastAsia="Arial" w:hAnsi="Arial"/>
          <w:color w:val="333333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Secretario: D. Luis Alfonso Manero Torres</w:t>
      </w:r>
    </w:p>
    <w:p w:rsidR="00000000" w:rsidDel="00000000" w:rsidP="00000000" w:rsidRDefault="00000000" w:rsidRPr="00000000" w14:paraId="00000023">
      <w:pPr>
        <w:pStyle w:val="Heading3"/>
        <w:rPr/>
      </w:pPr>
      <w:bookmarkStart w:colFirst="0" w:colLast="0" w:name="_heading=h.636u8npzmj5y" w:id="4"/>
      <w:bookmarkEnd w:id="4"/>
      <w:r w:rsidDel="00000000" w:rsidR="00000000" w:rsidRPr="00000000">
        <w:rPr>
          <w:rtl w:val="0"/>
        </w:rPr>
        <w:t xml:space="preserve">Consejo Asesor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 Presidente del Consejo Insular de la Energía de Gran Canaria, que ostenta la Presidencia.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 Vicepresidente del Consejo Insular de la Energía de Gran Canaria, que ostenta la Vicepresidencia.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 titular, en el área de la Energía, de la Dirección General de la Consejería Insular a la que se adscribe el Consejo Insular de la Energía de Gran Canaria.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 Director General del Consejo Insular de la Energía de Gran Canaria.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 representante de cada Consejería del Cabildo hasta un máximo de ocho. En caso de que existan más de ocho Consejerías se designará a un representante de cada una de aquellas cuyo objeto guarde una mayor relación con la promoción y fomento del uso e implantación de energías renovables así como el ahorro y la eficiencia energética.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 representante de la Comunidad Autónoma, designado por la Consejería autonómica con competencia en materia de Energía.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Seis representantes de las Corporaciones Locales, que será un representante por cada uno de los municipios de Las Palmas de Gran Canaria y Telde y un representante por cada una de las cuatro Mancomunidades.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Dos representantes de las organizaciones sindicales.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 representante designado por la Confederación de Empresarios.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Dos representantes designados de Asociaciones de Empresarios de EERR y cooperativas de productores.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Dos representantes de asociaciones ecologistas.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 representante de las organizaciones de consumidores y usuarios.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 representante designado por la Confederación de Asociaciones de Vecinos de Gran Canaria.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Dos vocales designados por el Consejero competente en materia de energía (expertos de reconocido prestigio).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 representante de la Cámara de Comercio, Industria y Navegación de Gran Canaria.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3"/>
        <w:rPr/>
      </w:pPr>
      <w:bookmarkStart w:colFirst="0" w:colLast="0" w:name="_heading=h.pemd6ndpr59" w:id="5"/>
      <w:bookmarkEnd w:id="5"/>
      <w:r w:rsidDel="00000000" w:rsidR="00000000" w:rsidRPr="00000000">
        <w:rPr>
          <w:rtl w:val="0"/>
        </w:rPr>
        <w:t xml:space="preserve">Órgano de dirección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Vacante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Descargar Decreto 2/16 Asignación temporal de competencias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3"/>
        <w:rPr/>
      </w:pPr>
      <w:bookmarkStart w:colFirst="0" w:colLast="0" w:name="_heading=h.ueo2wlm7ak9n" w:id="6"/>
      <w:bookmarkEnd w:id="6"/>
      <w:r w:rsidDel="00000000" w:rsidR="00000000" w:rsidRPr="00000000">
        <w:rPr>
          <w:rtl w:val="0"/>
        </w:rPr>
        <w:t xml:space="preserve">Unidades administrativas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4"/>
        <w:rPr/>
      </w:pPr>
      <w:bookmarkStart w:colFirst="0" w:colLast="0" w:name="_heading=h.nnauy62u4uyn" w:id="7"/>
      <w:bookmarkEnd w:id="7"/>
      <w:r w:rsidDel="00000000" w:rsidR="00000000" w:rsidRPr="00000000">
        <w:rPr>
          <w:rtl w:val="0"/>
        </w:rPr>
        <w:t xml:space="preserve">Departamento Jurídico: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FUNCIONES: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Asesoramiento y gestión jurídica del Consejo Insular de la Energía, procedimientos administrativos, gestión de proyectos, programas, subvenciones y ayudas que desarrolle o tenga encomendados el Consejo Insular de la Energía.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Asesoramiento sobre normativa y legislación en materia de energía, especialmente en el ámbito de las energías renovables.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Preparación y tramitación de expedientes de contratación, elaboración de pliegos, dictámenes, convocatorias, seguimiento de los mismos.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Asesoramiento y gestión jurídica del Consejo Insular de la Energía en Derecho societario y mercantil.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Derecho de acceso a información y contestación a las alegaciones.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4"/>
        <w:rPr/>
      </w:pPr>
      <w:bookmarkStart w:colFirst="0" w:colLast="0" w:name="_heading=h.jf4jqg8emyr4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4"/>
        <w:rPr/>
      </w:pPr>
      <w:bookmarkStart w:colFirst="0" w:colLast="0" w:name="_heading=h.jf4jqg8emyr4" w:id="8"/>
      <w:bookmarkEnd w:id="8"/>
      <w:r w:rsidDel="00000000" w:rsidR="00000000" w:rsidRPr="00000000">
        <w:rPr>
          <w:rtl w:val="0"/>
        </w:rPr>
        <w:t xml:space="preserve">Departamento técnico: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300" w:lineRule="auto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FUNCIONES:</w:t>
      </w:r>
    </w:p>
    <w:p w:rsidR="00000000" w:rsidDel="00000000" w:rsidP="00000000" w:rsidRDefault="00000000" w:rsidRPr="00000000" w14:paraId="0000004C">
      <w:pPr>
        <w:numPr>
          <w:ilvl w:val="0"/>
          <w:numId w:val="11"/>
        </w:numPr>
        <w:shd w:fill="ffffff" w:val="clear"/>
        <w:spacing w:after="0" w:afterAutospacing="0" w:lineRule="auto"/>
        <w:ind w:left="13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Planificación y seguimiento de análisis energéticos y estudios de eficiencia energética en consumidores intensivos de energía.</w:t>
      </w:r>
    </w:p>
    <w:p w:rsidR="00000000" w:rsidDel="00000000" w:rsidP="00000000" w:rsidRDefault="00000000" w:rsidRPr="00000000" w14:paraId="0000004D">
      <w:pPr>
        <w:numPr>
          <w:ilvl w:val="0"/>
          <w:numId w:val="11"/>
        </w:numPr>
        <w:shd w:fill="ffffff" w:val="clear"/>
        <w:spacing w:after="0" w:afterAutospacing="0" w:lineRule="auto"/>
        <w:ind w:left="13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Análisis y aplicación de la normativa energética en los estudios y proyectos que sean de aplicación.</w:t>
      </w:r>
    </w:p>
    <w:p w:rsidR="00000000" w:rsidDel="00000000" w:rsidP="00000000" w:rsidRDefault="00000000" w:rsidRPr="00000000" w14:paraId="0000004E">
      <w:pPr>
        <w:numPr>
          <w:ilvl w:val="0"/>
          <w:numId w:val="11"/>
        </w:numPr>
        <w:shd w:fill="ffffff" w:val="clear"/>
        <w:spacing w:after="0" w:afterAutospacing="0" w:lineRule="auto"/>
        <w:ind w:left="13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Estudios sobre la optimización energética del ciclo del agua.</w:t>
      </w:r>
    </w:p>
    <w:p w:rsidR="00000000" w:rsidDel="00000000" w:rsidP="00000000" w:rsidRDefault="00000000" w:rsidRPr="00000000" w14:paraId="0000004F">
      <w:pPr>
        <w:numPr>
          <w:ilvl w:val="0"/>
          <w:numId w:val="11"/>
        </w:numPr>
        <w:shd w:fill="ffffff" w:val="clear"/>
        <w:spacing w:after="0" w:afterAutospacing="0" w:lineRule="auto"/>
        <w:ind w:left="13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Estudios de eficacia energética e implantación de energías renovables en edificios.</w:t>
      </w:r>
    </w:p>
    <w:p w:rsidR="00000000" w:rsidDel="00000000" w:rsidP="00000000" w:rsidRDefault="00000000" w:rsidRPr="00000000" w14:paraId="00000050">
      <w:pPr>
        <w:numPr>
          <w:ilvl w:val="0"/>
          <w:numId w:val="11"/>
        </w:numPr>
        <w:shd w:fill="ffffff" w:val="clear"/>
        <w:spacing w:after="0" w:afterAutospacing="0" w:lineRule="auto"/>
        <w:ind w:left="13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Planificación y preparación de proyectos energéticos.</w:t>
      </w:r>
    </w:p>
    <w:p w:rsidR="00000000" w:rsidDel="00000000" w:rsidP="00000000" w:rsidRDefault="00000000" w:rsidRPr="00000000" w14:paraId="00000051">
      <w:pPr>
        <w:numPr>
          <w:ilvl w:val="0"/>
          <w:numId w:val="11"/>
        </w:numPr>
        <w:shd w:fill="ffffff" w:val="clear"/>
        <w:spacing w:after="640" w:lineRule="auto"/>
        <w:ind w:left="13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Preparación de Pliegos de Prescripciones Técnicas de Proyectos.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4"/>
        <w:rPr/>
      </w:pPr>
      <w:bookmarkStart w:colFirst="0" w:colLast="0" w:name="_heading=h.tsitqrch6pp7" w:id="9"/>
      <w:bookmarkEnd w:id="9"/>
      <w:r w:rsidDel="00000000" w:rsidR="00000000" w:rsidRPr="00000000">
        <w:rPr>
          <w:rtl w:val="0"/>
        </w:rPr>
        <w:t xml:space="preserve">Departamento de administración: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FUNCIONES: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Las comunes al ejercicio de la actividad administrativa, especialmente aquellas de carácter mecanográfico, de cálculo sencillo, archivo, registro y similares. En concreto: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Registro y/o recepción y distribución de documentación.</w:t>
      </w:r>
    </w:p>
    <w:p w:rsidR="00000000" w:rsidDel="00000000" w:rsidP="00000000" w:rsidRDefault="00000000" w:rsidRPr="00000000" w14:paraId="0000005A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Atención al ciudadano, bien sea presencial o telefónica.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Búsqueda y/o cotejo de información, comprobación, clasificación y verificación de datos y/o documentación, a partir de la cual, si es necesario, elaboración de conclusiones y/o escritos sencillos que reflejan el resultado de dicha comprobación y verificación.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Tramitación de expedientes (gasto, contratos, personal, certificados…); gestión de archivos y documentación.</w:t>
      </w:r>
    </w:p>
    <w:p w:rsidR="00000000" w:rsidDel="00000000" w:rsidP="00000000" w:rsidRDefault="00000000" w:rsidRPr="00000000" w14:paraId="0000005D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Consultas, grabación y mantenimiento de base de datos y expedición de documentos contables y fiscalización de documentos contables, comprobación y verificación de datos y/o documentación, control de plazos, etc.</w:t>
      </w:r>
    </w:p>
    <w:p w:rsidR="00000000" w:rsidDel="00000000" w:rsidP="00000000" w:rsidRDefault="00000000" w:rsidRPr="00000000" w14:paraId="0000005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Realización de tareas de gestión administrativa: gestión de desplazamientos, comisiones de servicios, tramitación de dietas, kilometrajes, horas extras, anticipos de caja fija, pagos a justificar, adquisición de material, tramitación de facturas, etc.</w:t>
      </w:r>
    </w:p>
    <w:p w:rsidR="00000000" w:rsidDel="00000000" w:rsidP="00000000" w:rsidRDefault="00000000" w:rsidRPr="00000000" w14:paraId="0000005F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Derecho de acceso a información y tramitación.</w:t>
      </w:r>
    </w:p>
    <w:p w:rsidR="00000000" w:rsidDel="00000000" w:rsidP="00000000" w:rsidRDefault="00000000" w:rsidRPr="00000000" w14:paraId="0000006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El horario de atención al público es de 9:30 - 14:30 horas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1"/>
      <w:pgMar w:bottom="1077" w:top="1361" w:left="1191" w:right="1304" w:header="425" w:footer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6237"/>
      </w:tabs>
      <w:spacing w:after="0" w:before="0" w:line="240" w:lineRule="auto"/>
      <w:ind w:left="0" w:right="6377" w:firstLine="0"/>
      <w:jc w:val="both"/>
      <w:rPr>
        <w:rFonts w:ascii="Helvetica Neue" w:cs="Helvetica Neue" w:eastAsia="Helvetica Neue" w:hAnsi="Helvetica Neue"/>
        <w:sz w:val="20"/>
        <w:szCs w:val="20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6237"/>
      </w:tabs>
      <w:spacing w:after="0" w:before="0" w:line="240" w:lineRule="auto"/>
      <w:ind w:left="0" w:right="6377" w:firstLine="0"/>
      <w:jc w:val="both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356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2290445" cy="1076325"/>
          <wp:effectExtent b="0" l="0" r="0" t="0"/>
          <wp:docPr id="102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0445" cy="1076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4965065" cy="941705"/>
          <wp:effectExtent b="0" l="0" r="0" t="0"/>
          <wp:docPr id="102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65065" cy="9417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NOB3mJcN/pQj3+sde6GiZ7ZY5Q==">AMUW2mUzxQq5G+4JgsRePNaH6rjEpf6eq63QBN/jvd3ov2ABZT8nYTaOnQEzNIowSsqC7dJSL3XVXPzSxmFCdqPM5Xer56+nKZhGfKG+T0Ayx59Q/pGGKziVV4CyrrwzkRsYYTSEtaCeKPHpYZUc+ycd3TWCb9OGynrHlAtnRGFidJhsgJYCtPLfWgLuORpZIFBum/KKD8DVEdEqkQ+6aXKv919G/Wi1eQevFw5vg9swd4NAsfDcQcI4Mz0dG/wZ231J4K2fUQiHlIezj8IQaNB4O0YXwYoRGOo2Zsi+NanllnxshXzDoWq0AGQ1kpSNZ0raFBdqNHVle9rGqlDwy8jhpQ1m7tBq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2020-03-26T09:46:00Z</dcterms:created>
  <dc:creator>Leonardo Marcos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