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rPr/>
      </w:pPr>
      <w:bookmarkStart w:colFirst="0" w:colLast="0" w:name="_heading=h.djs1v4d8iq66" w:id="0"/>
      <w:bookmarkEnd w:id="0"/>
      <w:r w:rsidDel="00000000" w:rsidR="00000000" w:rsidRPr="00000000">
        <w:rPr>
          <w:rtl w:val="0"/>
        </w:rPr>
        <w:t xml:space="preserve">Información presupuestaria y contable 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Georgia" w:cs="Georgia" w:eastAsia="Georgia" w:hAnsi="Georgia"/>
          <w:b w:val="1"/>
          <w:color w:val="333333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Plan estratégico: 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Georgia" w:cs="Georgia" w:eastAsia="Georgia" w:hAnsi="Georgia"/>
          <w:color w:val="1155cc"/>
          <w:u w:val="singl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Plan estratégico Consejo Insular de la Energía de Gran Canaria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Georgia" w:cs="Georgia" w:eastAsia="Georgia" w:hAnsi="Georgia"/>
          <w:b w:val="1"/>
          <w:color w:val="333333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Presupuestos: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40" w:line="360" w:lineRule="auto"/>
        <w:ind w:left="720" w:hanging="360"/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Ejercicio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40" w:before="0" w:beforeAutospacing="0" w:line="360" w:lineRule="auto"/>
        <w:ind w:left="720" w:hanging="360"/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Ejercicio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Georgia" w:cs="Georgia" w:eastAsia="Georgia" w:hAnsi="Georgia"/>
          <w:b w:val="1"/>
          <w:color w:val="333333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Gastos ejecutados en 2019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240" w:line="360" w:lineRule="auto"/>
        <w:ind w:left="720" w:hanging="360"/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Cuenta de pérdidas y ganancias 2019 (gastos ejecutados)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Gastos realizados en campañas de publicidad institucional: 63.144,10 €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Gastos realizados en concepto de patrocinios:  38.873,25 €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Georgia" w:cs="Georgia" w:eastAsia="Georgia" w:hAnsi="Georgia"/>
          <w:b w:val="1"/>
          <w:color w:val="333333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Cuentas anuales: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Georgia" w:cs="Georgia" w:eastAsia="Georgia" w:hAnsi="Georgia"/>
          <w:color w:val="333333"/>
        </w:rPr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Ejercicio 2016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240" w:line="360" w:lineRule="auto"/>
        <w:ind w:left="720" w:hanging="360"/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Informe de auditorías y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Georgia" w:cs="Georgia" w:eastAsia="Georgia" w:hAnsi="Georgia"/>
          <w:color w:val="333333"/>
        </w:rPr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Ejercicio 2017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="360" w:lineRule="auto"/>
        <w:ind w:left="720" w:hanging="360"/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Informe auditoría cuentas anuales (cuentas formuladas en la sesión ordinaria con fecha 06.04.18 del Consejo de Administración del Consejo Insular de la Energía, y pendientes de aprobación en el Pleno del Cabildo Insular de Gran Canaria)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="360" w:lineRule="auto"/>
        <w:ind w:left="720" w:hanging="360"/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Informe de auditoria y cuentas anuales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Georgia" w:cs="Georgia" w:eastAsia="Georgia" w:hAnsi="Georgia"/>
          <w:color w:val="333333"/>
        </w:rPr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Ejercicio 2018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="360" w:lineRule="auto"/>
        <w:ind w:left="720" w:hanging="360"/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Informe de auditoria cuentas anuales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360" w:lineRule="auto"/>
        <w:ind w:left="720" w:hanging="360"/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Georgia" w:cs="Georgia" w:eastAsia="Georgia" w:hAnsi="Georgia"/>
          <w:color w:val="333333"/>
        </w:rPr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Ejercicio 2019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240" w:line="360" w:lineRule="auto"/>
        <w:ind w:left="720" w:hanging="360"/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Informe de auditoría cuentas anuales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40" w:before="0" w:beforeAutospacing="0" w:line="360" w:lineRule="auto"/>
        <w:ind w:left="720" w:hanging="360"/>
      </w:pPr>
      <w:hyperlink r:id="rId1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Cuentas anuales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Georgia" w:cs="Georgia" w:eastAsia="Georgia" w:hAnsi="Georgia"/>
          <w:b w:val="1"/>
          <w:color w:val="333333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rtl w:val="0"/>
        </w:rPr>
        <w:t xml:space="preserve">Subvenciones recibidas: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240" w:line="3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rtl w:val="0"/>
        </w:rPr>
        <w:t xml:space="preserve">Convocatoria de concesión de ayudas de la Fundación Biodiversidad, en régimen de concurrencia competitiva, para la realización de proyectos en materia de adaptación al cambio climático. Título del proyecto: Diagnóstico de riesgos, vulnerabilidades y adaptación al cambio climático en la isla de Gran Canaria. Cuantía de la ayuda: 65.998,90 €.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0"/>
        <w:rPr>
          <w:rFonts w:ascii="Georgia" w:cs="Georgia" w:eastAsia="Georgia" w:hAnsi="Georgia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40" w:w="11901" w:orient="portrait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://www.energiagrancanaria.com/wp-content/uploads/2018/04/Informe_Auditor%C3%ADa_31_dic_2016-1.pdf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energiagrancanaria.com/wp-content/uploads/2020/10/cuenta-de-perdidas-y-ganancias-estado-de-prevision-de-ingresos-y-gastos-anual2019-epe.xlsx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www.energiagrancanaria.com/wp-content/uploads/2019/05/memoria-e-informe-ciegc-2017.pdf" TargetMode="External"/><Relationship Id="rId12" Type="http://schemas.openxmlformats.org/officeDocument/2006/relationships/hyperlink" Target="http://www.energiagrancanaria.com/wp-content/uploads/2018/04/3.2.-BORRADOR-INFORME-DE-AUDITOR%C3%8DA-CIEGC.pdf" TargetMode="Externa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nergiagrancanaria.com/wp-content/uploads/2020/06/epe-ciegc-ppto-2020-definitivo.pdf" TargetMode="External"/><Relationship Id="rId15" Type="http://schemas.openxmlformats.org/officeDocument/2006/relationships/hyperlink" Target="https://www.energiagrancanaria.com/wp-content/uploads/2020/06/f-cuentas-anuales-ciegc-2018.pdf" TargetMode="External"/><Relationship Id="rId14" Type="http://schemas.openxmlformats.org/officeDocument/2006/relationships/hyperlink" Target="https://www.energiagrancanaria.com/wp-content/uploads/2019/05/informe-auditoria-ciegc-2018-compressed.pdf" TargetMode="External"/><Relationship Id="rId17" Type="http://schemas.openxmlformats.org/officeDocument/2006/relationships/hyperlink" Target="https://www.energiagrancanaria.com/wp-content/uploads/2020/06/f-memoria-ciegc-2019-covid-19-v03-06-2020.pdf" TargetMode="External"/><Relationship Id="rId16" Type="http://schemas.openxmlformats.org/officeDocument/2006/relationships/hyperlink" Target="https://www.energiagrancanaria.com/wp-content/uploads/2021/03/informe-ciegc-2019.pdf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https://www.energiagrancanaria.com/wp-content/uploads/2019/05/a3-memoria-paif-2019.pdf" TargetMode="External"/><Relationship Id="rId8" Type="http://schemas.openxmlformats.org/officeDocument/2006/relationships/hyperlink" Target="https://www.energiagrancanaria.com/wp-content/uploads/2020/06/paif-2019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jTqnJh/Q8NmaDlB2bBBCqddEw==">AMUW2mVbu+EyMXzGdK1BMzG7eJa3FEezrAVnbfEASCP+ZaAzq9ibCo6J6scxejF3gvsW5YdNWnitUkRwdeClNxDlV9T5bt9XzsTOqZIuo5XZbQoSkR3lhQ5Gv21gNS+/Q+Jpa57mClR1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